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6BA9" w14:textId="77777777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>1)</w:t>
      </w:r>
      <w:r w:rsidRPr="0073581F">
        <w:rPr>
          <w:rFonts w:ascii="Times New Roman" w:hAnsi="Times New Roman" w:cs="Times New Roman"/>
          <w:sz w:val="28"/>
          <w:szCs w:val="28"/>
        </w:rPr>
        <w:t xml:space="preserve">Механизм передачи нервного импульса в синапсе и воздействие на него в практической медицине. </w:t>
      </w:r>
    </w:p>
    <w:p w14:paraId="12542EC6" w14:textId="6C929B51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>2) Роль глиальных клеток в функционировании нервной системы</w:t>
      </w:r>
    </w:p>
    <w:p w14:paraId="3F64B232" w14:textId="77777777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3) Рефлекторная теория </w:t>
      </w:r>
      <w:proofErr w:type="gramStart"/>
      <w:r w:rsidRPr="0073581F">
        <w:rPr>
          <w:rFonts w:ascii="Times New Roman" w:hAnsi="Times New Roman" w:cs="Times New Roman"/>
          <w:sz w:val="28"/>
          <w:szCs w:val="28"/>
        </w:rPr>
        <w:t>И.М.</w:t>
      </w:r>
      <w:proofErr w:type="gramEnd"/>
      <w:r w:rsidRPr="0073581F">
        <w:rPr>
          <w:rFonts w:ascii="Times New Roman" w:hAnsi="Times New Roman" w:cs="Times New Roman"/>
          <w:sz w:val="28"/>
          <w:szCs w:val="28"/>
        </w:rPr>
        <w:t xml:space="preserve"> Сеченова.</w:t>
      </w:r>
    </w:p>
    <w:p w14:paraId="5F880E3A" w14:textId="77777777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73581F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r w:rsidRPr="0073581F">
        <w:rPr>
          <w:rFonts w:ascii="Times New Roman" w:hAnsi="Times New Roman" w:cs="Times New Roman"/>
          <w:sz w:val="28"/>
          <w:szCs w:val="28"/>
        </w:rPr>
        <w:t xml:space="preserve"> и его роль в науке.</w:t>
      </w:r>
    </w:p>
    <w:p w14:paraId="429315B5" w14:textId="1514F1AC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73581F">
        <w:rPr>
          <w:rFonts w:ascii="Times New Roman" w:hAnsi="Times New Roman" w:cs="Times New Roman"/>
          <w:sz w:val="28"/>
          <w:szCs w:val="28"/>
        </w:rPr>
        <w:t>А.А.Ухтомский</w:t>
      </w:r>
      <w:proofErr w:type="spellEnd"/>
      <w:r w:rsidRPr="0073581F">
        <w:rPr>
          <w:rFonts w:ascii="Times New Roman" w:hAnsi="Times New Roman" w:cs="Times New Roman"/>
          <w:sz w:val="28"/>
          <w:szCs w:val="28"/>
        </w:rPr>
        <w:t xml:space="preserve"> и его принцип доминанты.</w:t>
      </w:r>
    </w:p>
    <w:p w14:paraId="0CFDC16C" w14:textId="77777777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6) Свойства анализаторов на примере зрительного. </w:t>
      </w:r>
    </w:p>
    <w:p w14:paraId="45E09DD4" w14:textId="77777777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>7) Аккомодация и ее нарушения: механизм и последствия.</w:t>
      </w:r>
    </w:p>
    <w:p w14:paraId="6DA85367" w14:textId="77777777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 8) Дальтонизм: причины и проявления. </w:t>
      </w:r>
    </w:p>
    <w:p w14:paraId="744712D7" w14:textId="45E98D97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Гигиена голосового аппарата</w:t>
      </w:r>
      <w:r w:rsidRPr="007358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FC0454" w14:textId="77777777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10) Гигиена слуха. </w:t>
      </w:r>
    </w:p>
    <w:p w14:paraId="239A13E9" w14:textId="77777777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11) Лимбическая система. </w:t>
      </w:r>
    </w:p>
    <w:p w14:paraId="1FB487F0" w14:textId="623EF06B" w:rsidR="0073581F" w:rsidRPr="0073581F" w:rsidRDefault="0073581F" w:rsidP="0073581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>12) Речевые центры головного мозга.</w:t>
      </w:r>
    </w:p>
    <w:p w14:paraId="71CE3A05" w14:textId="58A19D31" w:rsidR="0073581F" w:rsidRPr="0073581F" w:rsidRDefault="0073581F" w:rsidP="007358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hAnsi="Times New Roman" w:cs="Times New Roman"/>
          <w:sz w:val="28"/>
          <w:szCs w:val="28"/>
        </w:rPr>
        <w:t>Ретикулярная формация и ее значение</w:t>
      </w:r>
      <w:r w:rsidRPr="007358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ECBE7D" w14:textId="77777777" w:rsidR="0073581F" w:rsidRPr="0073581F" w:rsidRDefault="0073581F" w:rsidP="007358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14) Функциональная асимметрия полушарий головного мозга. </w:t>
      </w:r>
    </w:p>
    <w:p w14:paraId="62D15585" w14:textId="77777777" w:rsidR="0073581F" w:rsidRPr="0073581F" w:rsidRDefault="0073581F" w:rsidP="007358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15) Утомление, его виды </w:t>
      </w:r>
      <w:proofErr w:type="gramStart"/>
      <w:r w:rsidRPr="0073581F">
        <w:rPr>
          <w:rFonts w:ascii="Times New Roman" w:hAnsi="Times New Roman" w:cs="Times New Roman"/>
          <w:sz w:val="28"/>
          <w:szCs w:val="28"/>
        </w:rPr>
        <w:t>и  признаки</w:t>
      </w:r>
      <w:proofErr w:type="gramEnd"/>
      <w:r w:rsidRPr="007358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9B0CA" w14:textId="134DEF75" w:rsidR="0073581F" w:rsidRPr="0073581F" w:rsidRDefault="0073581F" w:rsidP="007358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Память и виды памяти</w:t>
      </w:r>
      <w:r w:rsidRPr="007358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E530CD" w14:textId="4E1CBC07" w:rsidR="0073581F" w:rsidRPr="0073581F" w:rsidRDefault="0073581F" w:rsidP="007358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sz w:val="28"/>
          <w:szCs w:val="28"/>
        </w:rPr>
        <w:t>Нарушения памяти</w:t>
      </w:r>
      <w:r w:rsidRPr="0073581F">
        <w:rPr>
          <w:rFonts w:ascii="Times New Roman" w:hAnsi="Times New Roman" w:cs="Times New Roman"/>
          <w:sz w:val="28"/>
          <w:szCs w:val="28"/>
        </w:rPr>
        <w:t>.</w:t>
      </w:r>
    </w:p>
    <w:p w14:paraId="0CF59D7D" w14:textId="77777777" w:rsidR="0073581F" w:rsidRPr="0073581F" w:rsidRDefault="0073581F" w:rsidP="007358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 18) Синдром дефицита внимания с гиперактивностью. </w:t>
      </w:r>
    </w:p>
    <w:p w14:paraId="42A108CE" w14:textId="77777777" w:rsidR="0073581F" w:rsidRPr="0073581F" w:rsidRDefault="0073581F" w:rsidP="007358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19) Аутизм. </w:t>
      </w:r>
    </w:p>
    <w:p w14:paraId="20A795EE" w14:textId="5A030DF7" w:rsidR="0073581F" w:rsidRPr="0073581F" w:rsidRDefault="0073581F" w:rsidP="007358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20) </w:t>
      </w:r>
      <w:r>
        <w:rPr>
          <w:rFonts w:ascii="Times New Roman" w:hAnsi="Times New Roman" w:cs="Times New Roman"/>
          <w:sz w:val="28"/>
          <w:szCs w:val="28"/>
        </w:rPr>
        <w:t>Мотивации</w:t>
      </w:r>
      <w:r w:rsidRPr="007358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A0D248" w14:textId="77777777" w:rsidR="0073581F" w:rsidRPr="0073581F" w:rsidRDefault="0073581F" w:rsidP="007358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21) Эмоции и их значение. </w:t>
      </w:r>
    </w:p>
    <w:p w14:paraId="5A46A6F2" w14:textId="08B1767A" w:rsidR="004A07C0" w:rsidRPr="0073581F" w:rsidRDefault="0073581F" w:rsidP="0073581F">
      <w:pPr>
        <w:spacing w:after="0" w:line="360" w:lineRule="auto"/>
        <w:contextualSpacing/>
        <w:rPr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 xml:space="preserve">22) </w:t>
      </w:r>
      <w:r>
        <w:rPr>
          <w:rFonts w:ascii="Times New Roman" w:hAnsi="Times New Roman" w:cs="Times New Roman"/>
          <w:sz w:val="28"/>
          <w:szCs w:val="28"/>
        </w:rPr>
        <w:t>Подкорковые ядра и их функции</w:t>
      </w:r>
      <w:r w:rsidRPr="0073581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</w:t>
      </w:r>
      <w:r w:rsidRPr="0073581F">
        <w:rPr>
          <w:rFonts w:ascii="Times New Roman" w:eastAsia="Times New Roman" w:hAnsi="Times New Roman" w:cs="Times New Roman"/>
          <w:color w:val="000000"/>
          <w:sz w:val="28"/>
          <w:szCs w:val="28"/>
        </w:rPr>
        <w:t>23) Пирамидная и экстрапирамидная система - различия в структуре и функциях.</w:t>
      </w:r>
    </w:p>
    <w:sectPr w:rsidR="004A07C0" w:rsidRPr="0073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E7"/>
    <w:rsid w:val="004A07C0"/>
    <w:rsid w:val="0073581F"/>
    <w:rsid w:val="007E2AE7"/>
    <w:rsid w:val="00A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BA5C"/>
  <w15:chartTrackingRefBased/>
  <w15:docId w15:val="{F205A94F-03C9-4401-9C4E-62C12A7D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8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2020-10-29T09:58:00Z</dcterms:created>
  <dcterms:modified xsi:type="dcterms:W3CDTF">2020-10-29T09:58:00Z</dcterms:modified>
</cp:coreProperties>
</file>